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tbl>
      <w:tblPr>
        <w:jc w:val="left"/>
        <w:tblInd w:type="dxa" w:w="93"/>
        <w:tblBorders>
          <w:top w:val="nil"/>
          <w:left w:val="nil"/>
          <w:bottom w:val="nil"/>
          <w:insideH w:val="nil"/>
          <w:right w:val="nil"/>
          <w:insideV w:val="nil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3010"/>
        <w:gridCol w:w="988"/>
        <w:gridCol w:w="5827"/>
        <w:gridCol w:w="2115"/>
        <w:gridCol w:w="1706"/>
        <w:gridCol w:w="2282"/>
      </w:tblGrid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bookmarkStart w:id="0" w:name="_GoBack"/>
            <w:bookmarkStart w:id="1" w:name="_GoBack"/>
            <w:bookmarkEnd w:id="1"/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bookmarkStart w:id="2" w:name="_GoBack1"/>
            <w:bookmarkStart w:id="3" w:name="_GoBack1"/>
            <w:bookmarkEnd w:id="3"/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32"/>
                <w:szCs w:val="32"/>
                <w:lang w:eastAsia="ru-RU"/>
              </w:rPr>
            </w:pPr>
            <w:r>
              <w:rPr>
                <w:rFonts w:ascii="Arial" w:cs="Arial" w:eastAsia="Times New Roman" w:hAnsi="Arial"/>
                <w:sz w:val="32"/>
                <w:szCs w:val="32"/>
                <w:lang w:eastAsia="ru-RU"/>
              </w:rPr>
              <w:t>Смета расходов  ТСН « Горелый хутор.» на 2018 год</w:t>
            </w:r>
          </w:p>
        </w:tc>
        <w:tc>
          <w:tcPr>
            <w:tcW w:type="dxa" w:w="211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color="000001" w:space="0" w:sz="4" w:val="single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color="000001" w:space="0" w:sz="4" w:val="single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2018 год</w:t>
            </w:r>
          </w:p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планируемая</w:t>
            </w:r>
          </w:p>
        </w:tc>
        <w:tc>
          <w:tcPr>
            <w:tcW w:type="dxa" w:w="2282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color="000001" w:space="0" w:sz="4" w:val="single"/>
              <w:bottom w:val="nil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val="nil"/>
              <w:right w:val="nil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type="dxa" w:w="988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номер</w:t>
            </w:r>
          </w:p>
        </w:tc>
        <w:tc>
          <w:tcPr>
            <w:tcW w:type="dxa" w:w="5827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Статья расходов</w:t>
            </w:r>
          </w:p>
        </w:tc>
        <w:tc>
          <w:tcPr>
            <w:tcW w:type="dxa" w:w="2115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color="000001" w:space="0" w:sz="4" w:val="single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restart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jc w:val="both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поселка</w:t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снега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370000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Уборка и вывоз мусора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Оплата за потребленную эл.энергию 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(ямочный) ремонт дорог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ремонт системы водоснабжения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Текущий ремонт системы газоснабжения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Инструмент и оборудование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Юридические услуги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180000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Резервный фонд (вода)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Развитие дорожной сети внутри поселка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865000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3285000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348"/>
          <w:cantSplit w:val="false"/>
        </w:trPr>
        <w:tc>
          <w:tcPr>
            <w:tcW w:type="dxa" w:w="3010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58"/>
          <w:cantSplit w:val="false"/>
        </w:trPr>
        <w:tc>
          <w:tcPr>
            <w:tcW w:type="dxa" w:w="3010"/>
            <w:vMerge w:val="restart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Управленческие</w:t>
            </w:r>
          </w:p>
          <w:p>
            <w:pPr>
              <w:pStyle w:val="style0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Фонд оплаты труда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588000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Начисления на ФОТ,налоги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254016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Налоги на имущество,водный налог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18000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Содержание расчетного счета в банке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Бухгалтерское обслуживание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Возмещение расходов на связь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Транспортные расходы на служебные цели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65000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Информационно техническое сопровождение. Поддержание работы сайта.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Эксплуатация здания правления (эл. энергия)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8000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Канцтовары, заправка картриджей. Оснащение правления оргтехникой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Прочие расходы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100000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1275016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ВСЕГО: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  <w:t>4560016</w:t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vMerge w:val="restart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4560000:200(количество членов ЖСК)=1900 рублей, </w:t>
            </w:r>
            <w:bookmarkStart w:id="4" w:name="__DdeLink__4414_1263921256"/>
            <w:bookmarkEnd w:id="4"/>
            <w:r>
              <w:rPr>
                <w:rFonts w:ascii="Arial" w:hAnsi="Arial"/>
                <w:sz w:val="20"/>
                <w:szCs w:val="20"/>
              </w:rPr>
              <w:t>ежемесячный взнос порядка 1900 руб</w:t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vMerge w:val="continue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vMerge w:val="continue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  <w:tr>
        <w:trPr>
          <w:trHeight w:hRule="atLeast" w:val="264"/>
          <w:cantSplit w:val="false"/>
        </w:trPr>
        <w:tc>
          <w:tcPr>
            <w:tcW w:type="dxa" w:w="3010"/>
            <w:vMerge w:val="continue"/>
            <w:tcBorders>
              <w:top w:val="nil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FFFFFF" w:val="clear"/>
            <w:tcMar>
              <w:left w:type="dxa" w:w="78"/>
            </w:tcMar>
            <w:vAlign w:val="center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pPr>
            <w:r>
              <w:rPr>
                <w:rFonts w:ascii="Arial" w:cs="Arial" w:eastAsia="Times New Roman" w:hAnsi="Arial"/>
                <w:sz w:val="20"/>
                <w:szCs w:val="20"/>
                <w:lang w:eastAsia="ru-RU"/>
              </w:rPr>
            </w:r>
          </w:p>
        </w:tc>
        <w:tc>
          <w:tcPr>
            <w:tcW w:type="dxa" w:w="988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jc w:val="right"/>
              <w:rPr/>
            </w:pPr>
            <w:r>
              <w:rPr/>
            </w:r>
          </w:p>
        </w:tc>
        <w:tc>
          <w:tcPr>
            <w:tcW w:type="dxa" w:w="5827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115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1706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type="dxa" w:w="2282"/>
            <w:tcBorders>
              <w:top w:val="nil"/>
              <w:left w:val="nil"/>
              <w:bottom w:color="000001" w:space="0" w:sz="4" w:val="single"/>
              <w:right w:color="000001" w:space="0" w:sz="4" w:val="single"/>
            </w:tcBorders>
            <w:shd w:fill="FFFFFF" w:val="clear"/>
            <w:vAlign w:val="bottom"/>
          </w:tcPr>
          <w:p>
            <w:pPr>
              <w:pStyle w:val="style0"/>
              <w:spacing w:after="0" w:before="0" w:line="100" w:lineRule="atLeast"/>
              <w:contextualSpacing w:val="false"/>
              <w:rPr/>
            </w:pPr>
            <w:r>
              <w:rPr/>
            </w:r>
          </w:p>
        </w:tc>
      </w:tr>
    </w:tbl>
    <w:p>
      <w:pPr>
        <w:pStyle w:val="style0"/>
        <w:rPr/>
      </w:pPr>
      <w:r>
        <w:rPr/>
      </w:r>
    </w:p>
    <w:p>
      <w:pPr>
        <w:pStyle w:val="style0"/>
        <w:rPr/>
      </w:pPr>
      <w:r>
        <w:rPr/>
        <w:t xml:space="preserve">  </w:t>
      </w:r>
      <w:r>
        <w:rPr/>
        <w:t>Примечание. Для жителей, пользующихся водой из собственных скважин, ежемесячный взнос составляет 1400 рублей.</w:t>
      </w:r>
    </w:p>
    <w:p>
      <w:pPr>
        <w:pStyle w:val="style0"/>
        <w:rPr/>
      </w:pPr>
      <w:r>
        <w:rPr/>
      </w:r>
    </w:p>
    <w:p>
      <w:pPr>
        <w:pStyle w:val="style0"/>
        <w:rPr/>
      </w:pPr>
      <w:r>
        <w:rPr/>
        <w:t>Предоставление льгот по оплате обязательных платежей:</w:t>
      </w:r>
    </w:p>
    <w:p>
      <w:pPr>
        <w:pStyle w:val="style0"/>
        <w:rPr/>
      </w:pPr>
      <w:r>
        <w:rPr/>
        <w:t xml:space="preserve"> </w:t>
      </w:r>
      <w:r>
        <w:rPr/>
        <w:t>100% - председателю ТСН;</w:t>
      </w:r>
    </w:p>
    <w:p>
      <w:pPr>
        <w:pStyle w:val="style0"/>
        <w:rPr/>
      </w:pPr>
      <w:r>
        <w:rPr/>
        <w:t xml:space="preserve"> </w:t>
      </w:r>
      <w:r>
        <w:rPr/>
        <w:t>50% - членам правления ТСН,председателю ревизионной комиссии ТСН.</w:t>
      </w:r>
    </w:p>
    <w:p>
      <w:pPr>
        <w:pStyle w:val="style0"/>
        <w:rPr/>
      </w:pPr>
      <w:r>
        <w:rPr/>
        <w:t>Смета согласована с председателем ревизионной комиссии  и утверждена на заседании  правления ТСН 28.11.2017г.</w:t>
      </w:r>
    </w:p>
    <w:sectPr>
      <w:type w:val="nextPage"/>
      <w:pgSz w:h="11906" w:orient="landscape" w:w="16838"/>
      <w:pgMar w:bottom="1701" w:footer="0" w:gutter="0" w:header="0" w:left="1134" w:right="1134" w:top="851"/>
      <w:pgNumType w:fmt="decimal"/>
      <w:formProt w:val="false"/>
      <w:textDirection w:val="lrTb"/>
      <w:docGrid w:charSpace="2457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swiss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Calibri" w:eastAsia="SimSun" w:hAnsi="Calibri"/>
      <w:color w:val="00000A"/>
      <w:sz w:val="22"/>
      <w:szCs w:val="22"/>
      <w:lang w:bidi="ar-SA" w:eastAsia="en-US" w:val="ru-RU"/>
    </w:rPr>
  </w:style>
  <w:style w:styleId="style15" w:type="character">
    <w:name w:val="Default Paragraph Font"/>
    <w:next w:val="style15"/>
    <w:rPr/>
  </w:style>
  <w:style w:styleId="style16" w:type="character">
    <w:name w:val="Верхний колонтитул Знак"/>
    <w:basedOn w:val="style15"/>
    <w:next w:val="style16"/>
    <w:rPr/>
  </w:style>
  <w:style w:styleId="style17" w:type="character">
    <w:name w:val="Нижний колонтитул Знак"/>
    <w:basedOn w:val="style15"/>
    <w:next w:val="style17"/>
    <w:rPr/>
  </w:style>
  <w:style w:styleId="style18" w:type="paragraph">
    <w:name w:val="Заголовок"/>
    <w:basedOn w:val="style0"/>
    <w:next w:val="style19"/>
    <w:pPr>
      <w:keepNext/>
      <w:spacing w:after="120" w:before="240"/>
      <w:contextualSpacing w:val="false"/>
    </w:pPr>
    <w:rPr>
      <w:rFonts w:ascii="Arial" w:cs="Mangal" w:eastAsia="Microsoft YaHei" w:hAnsi="Arial"/>
      <w:sz w:val="28"/>
      <w:szCs w:val="28"/>
    </w:rPr>
  </w:style>
  <w:style w:styleId="style19" w:type="paragraph">
    <w:name w:val="Основной текст"/>
    <w:basedOn w:val="style0"/>
    <w:next w:val="style19"/>
    <w:pPr>
      <w:spacing w:after="120" w:before="0"/>
      <w:contextualSpacing w:val="false"/>
    </w:pPr>
    <w:rPr/>
  </w:style>
  <w:style w:styleId="style20" w:type="paragraph">
    <w:name w:val="Список"/>
    <w:basedOn w:val="style19"/>
    <w:next w:val="style20"/>
    <w:pPr/>
    <w:rPr>
      <w:rFonts w:cs="Mangal"/>
    </w:rPr>
  </w:style>
  <w:style w:styleId="style21" w:type="paragraph">
    <w:name w:val="Название"/>
    <w:basedOn w:val="style0"/>
    <w:next w:val="style21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2" w:type="paragraph">
    <w:name w:val="Указатель"/>
    <w:basedOn w:val="style0"/>
    <w:next w:val="style22"/>
    <w:pPr>
      <w:suppressLineNumbers/>
    </w:pPr>
    <w:rPr>
      <w:rFonts w:cs="Mangal"/>
    </w:rPr>
  </w:style>
  <w:style w:styleId="style23" w:type="paragraph">
    <w:name w:val="Заглавие"/>
    <w:basedOn w:val="style0"/>
    <w:next w:val="style23"/>
    <w:pPr>
      <w:suppressLineNumbers/>
      <w:spacing w:after="120" w:before="120"/>
      <w:contextualSpacing w:val="false"/>
      <w:jc w:val="left"/>
    </w:pPr>
    <w:rPr>
      <w:rFonts w:cs="Mangal"/>
      <w:i/>
      <w:iCs/>
      <w:sz w:val="24"/>
      <w:szCs w:val="24"/>
    </w:rPr>
  </w:style>
  <w:style w:styleId="style24" w:type="paragraph">
    <w:name w:val="index heading"/>
    <w:basedOn w:val="style0"/>
    <w:next w:val="style24"/>
    <w:pPr>
      <w:suppressLineNumbers/>
    </w:pPr>
    <w:rPr>
      <w:rFonts w:cs="Mangal"/>
    </w:rPr>
  </w:style>
  <w:style w:styleId="style25" w:type="paragraph">
    <w:name w:val="Верхний колонтитул"/>
    <w:basedOn w:val="style0"/>
    <w:next w:val="style25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6" w:type="paragraph">
    <w:name w:val="Нижний колонтитул"/>
    <w:basedOn w:val="style0"/>
    <w:next w:val="style26"/>
    <w:pPr>
      <w:tabs>
        <w:tab w:leader="none" w:pos="4677" w:val="center"/>
        <w:tab w:leader="none" w:pos="9355" w:val="right"/>
      </w:tabs>
      <w:spacing w:after="0" w:before="0" w:line="100" w:lineRule="atLeast"/>
      <w:contextualSpacing w:val="false"/>
    </w:pPr>
    <w:rPr/>
  </w:style>
  <w:style w:styleId="style27" w:type="paragraph">
    <w:name w:val="Содержимое таблицы"/>
    <w:basedOn w:val="style0"/>
    <w:next w:val="style27"/>
    <w:pPr/>
    <w:rPr/>
  </w:style>
  <w:style w:styleId="style28" w:type="paragraph">
    <w:name w:val="Заголовок таблицы"/>
    <w:basedOn w:val="style27"/>
    <w:next w:val="style28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2017-12-01T06:58:00Z</dcterms:created>
  <dc:creator>Казаков</dc:creator>
  <cp:lastModifiedBy>Алина</cp:lastModifiedBy>
  <dcterms:modified xsi:type="dcterms:W3CDTF">2017-12-01T06:58:00Z</dcterms:modified>
  <cp:revision>2</cp:revision>
</cp:coreProperties>
</file>